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2 vom 14. Februar 2026</w:t>
      </w:r>
    </w:p>
    <w:p>
      <w:r>
        <w:t>GR Gerichte, 2026-02-14, DE</w:t>
      </w:r>
    </w:p>
    <w:p>
      <w:r>
        <w:rPr>
          <w:b/>
        </w:rPr>
        <w:t xml:space="preserve">Quelle: </w:t>
      </w:r>
      <w:r>
        <w:t>https://mcp.opencaselaw.ch/entscheid/gr_gerichte_PVG 2002 2</w:t>
      </w:r>
    </w:p>
    <w:p>
      <w:r>
        <w:t>FR: GR_GERICHTE PVG 2002 2 du 14 février 2026</w:t>
      </w:r>
    </w:p>
    <w:p>
      <w:r>
        <w:t>IT: GR_GERICHTE PVG 2002 2 del 14 febbraio 2026</w:t>
      </w:r>
    </w:p>
    <w:p>
      <w:pPr>
        <w:pStyle w:val="Heading2"/>
      </w:pPr>
      <w:r>
        <w:t>Erwägungen</w:t>
      </w:r>
    </w:p>
    <w:p>
      <w:r>
        <w:rPr>
          <w:b/>
        </w:rPr>
        <w:t>E. 2</w:t>
      </w:r>
    </w:p>
    <w:p>
      <w:r>
        <w:t>2/2 Fremdenpolizei PVG 2002 gend: BGE 118 Ib 153 E. 2b S. 159). Es erachtete einen solchen als nicht dem Gesetzeszweck entsprechend und prüfte differenziert, ob im konkreten Fall ein Nachzugsrecht bestehe. Dabei hat es mehrfach festgehalten, das Ziel, das familiäre Zusammenleben zu ermöglichen, werde verfehlt, wenn der in der Schweiz niederge- lassene Elternteil das Kind erst kurz vor Erreichen des 18. Alters- jahres zu sich hole, nachdem er jahrelang von ihm getrennt gelebt habe (vgl. BGE 125 II 633 E. 3a S. 640 mit Hinweisen). Eine Aus- nahme kann nur gelten, wenn aus den Umständen des Einzelfalls gute Gründe dafür ersichtlich sind, dass die Familiengemeinschaft in der Schweiz erst nach Jahren hergestellt wird. Das gilt in be- sonderem Masse dann, wenn das Kind, welches nachgezogen werden soll, bereits einmal in der Schweiz gelebt hat und danach definitiv wieder in sein Heimatland zurückgekehrt ist (vgl. BGE 125 II 585 E. 2a S. 587 mit Hinweisen). Voraussetzung für ein Nach- zugsrecht ist generell, dass der in der Schweiz lebende Elternteil die vorrangige familiäre Beziehung zum betroffenen Kind unter- hält (BGE 125 II 633 E. 3a S. 640 mit Hinweisen), wobei zu berück- sichtigen ist, bei welchem Elternteil das Kind bisher gelebt hat und wem die elterliche Gewalt zukommt (BGE 125 II 585 E. 2a S. 587).</w:t>
      </w:r>
    </w:p>
    <w:p>
      <w:r>
        <w:rPr>
          <w:b/>
        </w:rPr>
        <w:t>E. 3</w:t>
      </w:r>
    </w:p>
    <w:p>
      <w:r>
        <w:t>a) Die publizierte bundesgerichtliche Rechtsprechung be- fasst sich – wie erwähnt – überwiegend mit Kindern geschiedener oder getrennt lebender Eltern (vgl. aber: BGE 119 Ib 81). Die fami- liäre Situation, welche dieser Praxis zugrunde liegt, ist damit eine andere als jene von Kindern, deren Eltern sich beide in der Schweiz niedergelassen haben und einen gemeinsamen ehelichen Haushalt führen. Bei einem Kind getrennt lebender Eltern führt der Umzug in die Schweiz – namentlich dann, wenn das Kind bisher im Ausland vom andern Elternteil selbst betreut worden ist – nicht ohne weite- res zu einer engeren Einbindung in eine Familiengemeinschaft. Es wird lediglich die Obhut eines Elternteils durch jene des andern er- setzt, ohne dass die Familie als Ganzes näher zusammengeführt würde. In solchen Fällen setzt der nachträgliche Nachzug eines Kin- des daher voraus, dass eine vorrangige Bindung des Kindes zum in der Schweiz lebenden Elternteil nachgewiesen ist und stichhaltige familiäre Gründe, zum Beispiel eine Änderung der Betreuungs- möglichkeiten, dieses Vorgehen rechtfertigen (vgl. E. 2b). b) Demgegenüber stellt der Familiennachzug bei Eltern, die in der Schweiz zusammenleben, jene Familienverhältnisse her, die durch Art. 17 Abs. 2 ANAG geschützt werden sollen. Sinn und Zweck dieser Bestimmung ist es, den Eltern zu ermöglichen, ihre gemeinsamen Kinder selbst zu erziehen und zu betreuen. Dem 21</w:t>
      </w:r>
    </w:p>
    <w:p>
      <w:r>
        <w:t>2/2 Fremdenpolizei PVG 2002 Schutz des Familienlebens (vgl. Art. 8 EMRK)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 xisgemäss das Bestehen eines Nachzugsrechts eines Elternteils al- lein geprüft wird, können deshalb nicht ohne weiteres auf intakte Familien übertragen werden. Das Bundesgericht hat seine restrik- tive Praxis stets damit begründet, dass bei Kindern getrennt leben- der Eltern nicht der von Art. 17 Abs. 2 ANAG verfolgte Schutz der Gesamtfamilie in Frage stehe (vgl. E. 2a). Damit hat es sich (impli- zit) vorbehalten, im Fall zusammenlebender Eltern andere Akzente zu setzen. Der nachträgliche Familiennachzug durch zusammenle- bende Eltern ist deshalb möglich, ohne dass besondere stichhal- tige Gründe die beabsichtigte Änderung der Betreuungsverhält- nisse rechtfertigen müssen. Innerhalb der allgemeinen Schranken von Art. 17 Abs. 2 Satz 3 ANAG ist der Nachzug von gemeinsamen Kindern durch beide Elternteile zusammen grundsätzlich jederzeit zulässig ; vorbehalten bleibt einzig das Rechtsmissbrauchsverbot. Je länger mit der Ausübung des Nachzugsrechtes ohne sachlichen Grund zugewartet wird und je knapper die verbleibende Zeit bis zur Volljährigkeit ist, umso eher kann sich auch bei im Ausland ver- bliebenen gemeinsamen Kindern zusammenlebender Eltern die Frage stellen, ob wirklich die Herstellung der Familiengemeinschaft beabsichtigt ist oder ob die Ansprüche aus Art. 17 ANAG zweckwid- rig für die blosse Verschaffung einer Niederlassungsbewilligung geltend gemacht werden (BGE 126 II 328 f., E. 3b). U 01 138 Urteil vom 19. Februar 2002 Die dagegen an das Bundesgericht erhobene Verwaltungsgerichts- beschwerde wurde am 5. Juni 2002 abgewiesen, soweit darauf ein- zutreten war (2A.240/2002).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